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96" w:rsidRDefault="00A47E96" w:rsidP="00A47E96">
      <w:pPr>
        <w:spacing w:line="580" w:lineRule="exact"/>
        <w:jc w:val="left"/>
        <w:rPr>
          <w:rFonts w:ascii="方正仿宋简体" w:eastAsia="方正仿宋简体"/>
          <w:sz w:val="30"/>
          <w:szCs w:val="30"/>
        </w:rPr>
      </w:pPr>
      <w:r>
        <w:rPr>
          <w:rFonts w:ascii="方正仿宋简体" w:eastAsia="方正仿宋简体" w:hint="eastAsia"/>
          <w:sz w:val="30"/>
          <w:szCs w:val="30"/>
        </w:rPr>
        <w:t>附件</w:t>
      </w:r>
      <w:r>
        <w:rPr>
          <w:rFonts w:ascii="方正仿宋简体" w:eastAsia="方正仿宋简体"/>
          <w:sz w:val="30"/>
          <w:szCs w:val="30"/>
        </w:rPr>
        <w:t>3</w:t>
      </w:r>
    </w:p>
    <w:p w:rsidR="00A47E96" w:rsidRDefault="00A47E96" w:rsidP="00A47E96">
      <w:pPr>
        <w:spacing w:line="580" w:lineRule="exact"/>
        <w:jc w:val="center"/>
        <w:rPr>
          <w:rFonts w:ascii="方正大标宋简体" w:eastAsia="方正大标宋简体"/>
          <w:sz w:val="42"/>
          <w:szCs w:val="42"/>
        </w:rPr>
      </w:pPr>
    </w:p>
    <w:p w:rsidR="00A47E96" w:rsidRDefault="00A47E96" w:rsidP="00A47E96">
      <w:pPr>
        <w:spacing w:line="580" w:lineRule="exact"/>
        <w:jc w:val="center"/>
        <w:rPr>
          <w:rFonts w:ascii="方正大标宋简体" w:eastAsia="方正大标宋简体"/>
          <w:sz w:val="42"/>
          <w:szCs w:val="42"/>
        </w:rPr>
      </w:pPr>
      <w:r>
        <w:rPr>
          <w:rFonts w:ascii="方正大标宋简体" w:eastAsia="方正大标宋简体" w:hint="eastAsia"/>
          <w:sz w:val="42"/>
          <w:szCs w:val="42"/>
        </w:rPr>
        <w:t>上海期货交易所标准仓单管理办法</w:t>
      </w:r>
    </w:p>
    <w:p w:rsidR="00A47E96" w:rsidRDefault="00A47E96" w:rsidP="00A47E96">
      <w:pPr>
        <w:spacing w:line="580" w:lineRule="exact"/>
        <w:jc w:val="center"/>
        <w:rPr>
          <w:rFonts w:ascii="方正大标宋简体" w:eastAsia="方正大标宋简体"/>
          <w:sz w:val="42"/>
          <w:szCs w:val="42"/>
        </w:rPr>
      </w:pPr>
      <w:r>
        <w:rPr>
          <w:rFonts w:ascii="方正大标宋简体" w:eastAsia="方正大标宋简体" w:hint="eastAsia"/>
          <w:sz w:val="42"/>
          <w:szCs w:val="42"/>
        </w:rPr>
        <w:t>(修订版)</w:t>
      </w:r>
    </w:p>
    <w:p w:rsidR="00A47E96" w:rsidRDefault="00A47E96" w:rsidP="00A47E96">
      <w:pPr>
        <w:spacing w:line="580" w:lineRule="exact"/>
        <w:jc w:val="center"/>
        <w:rPr>
          <w:rFonts w:ascii="方正大标宋简体" w:eastAsia="方正大标宋简体"/>
          <w:sz w:val="42"/>
          <w:szCs w:val="42"/>
        </w:rPr>
      </w:pP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第一章总则</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第一条 为加强标准仓单的管理，规范参与各方的行为，保障上海期货交易所（以下简称交易所）期货交割业务的正常进行，根据《上海期货交易所交易规则》制定本办法。</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第二条 交易所、会员、客户、指定交割仓库等标准仓单业务参与者办理与标准仓单有关的各项业务时应当遵守本办法。</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第三条 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w:t>
      </w:r>
      <w:r w:rsidRPr="00CB3493">
        <w:rPr>
          <w:rFonts w:ascii="方正仿宋简体" w:eastAsia="方正仿宋简体" w:hint="eastAsia"/>
          <w:color w:val="000000"/>
          <w:kern w:val="0"/>
          <w:sz w:val="30"/>
          <w:szCs w:val="30"/>
        </w:rPr>
        <w:t>厂库标准仓单暂限于螺纹钢、线材、石油沥青、热轧卷板、不锈钢和漂白硫酸盐针叶木浆期货合约。</w:t>
      </w:r>
      <w:r>
        <w:rPr>
          <w:rFonts w:ascii="方正仿宋简体" w:eastAsia="方正仿宋简体" w:hint="eastAsia"/>
          <w:color w:val="000000"/>
          <w:kern w:val="0"/>
          <w:sz w:val="30"/>
          <w:szCs w:val="30"/>
        </w:rPr>
        <w:t>在本管理办法中，如无特指，则标准仓单指仓库标准仓单。</w:t>
      </w: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第二章 标准仓单管理系统</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第四条 交易所应当建立标准仓单管理系统，对本办法规定的标准仓单的各项业务进行管理。标准仓单管理系统由交易所维护和管理。</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lastRenderedPageBreak/>
        <w:t>第五条 交易所、会员、客户及指定交割仓库等标准仓单业务参与者应当通过交易所标准仓单管理系统办理与标准仓单有关的各项业务。</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第六条 会员使用标准仓单管理系统办理交割、结算等标准仓单业务应当由其结算交割员操作。</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第七条 标准仓单业务参与者应当在标准仓单管理系统中先开立标准仓单帐户，方可持有标准仓单，参与标准仓单业务。标准仓单帐户实行一户一码，即一个标准仓单业务参与者只能拥有一个标准仓单帐户。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会员和指定交割仓库应当协助客户开立标准仓单帐户，并负责核查其所提供材料信息的真实性、完整性和有效性。</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第八条 标准仓单业务参与者提交的开户资料应当真实。</w:t>
      </w: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第三章 标准仓单的一般规定</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第九条 标准仓单在标准仓单管理系统中生成后即以电子形式存在。</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第十条 标准仓单应当包括下列事项:</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（一）货主名称（全称）;</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（二）仓储物的品种、数量、质量和件数;</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（三）储存场所;</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（四）仓储费;</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（五）仓储物已经办理保险的，其保险金额、期限以及保险人的名称;</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（六）填发人、填发地和填发日期;</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（七）标准仓单应当载明的其他内容。</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lastRenderedPageBreak/>
        <w:t>第十一条 标准仓单可以用于交割、转让、提货以及交易所规定的其他用途。</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第十二条 标准仓单作为保证金使用参见《上海期货交易所结算细则》有关有价证券的规定执行。</w:t>
      </w: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第四章 标准仓单的生成</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第十三条 标准仓单生成包括交割预报（入库申报）、商品入库、验收、指定交割仓库签发、确认等环节。</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第十四条 货主向指定交割仓库发货前，应当办理入库申报。</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入库申报的内容包括商品的品种、等级（牌号）、商标、数量、发货单位及拟入指定交割仓库名称等，并提供各项单证。燃料油、石油沥青入库申报时，还应当缴纳入库申报押金。</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客户应当委托期货公司会员办理交割预报（入库申报）手续。</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第十五条 交易所在库容允许情况下，考虑货主意愿，在3 个交易日内决定是否批准入库。</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第十六条 货主应当在交易所规定的有效期内向已批准的入库申报中确定的指定交割仓库发货。未经交易所批准入库或未在规定的有效期内入库的商品不能用于交割。</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第十七条 指定交割仓库应当根据期货交割的有关规定，对入库商品种类、牌号、数量、质量、包装及相关单证进行验收。</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货主应当到库监收。货主不到库监收，视为同意指定交割仓库的验收结果。</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验收合格后，指定交割仓库应当将入库检验的结果输入标准仓单管理系统，再由会员向交易所提交制作标准仓单申请。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lastRenderedPageBreak/>
        <w:t>第十八条 交易所批准制作标准仓单后，指定交割仓库核对入库申报数据并制作仓单。指定交割仓库审核人员应当复核仓单数据。</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第十九条 仓单所有者对新签发的标准仓单进行验收确认。如果仓单所有者在收到标准仓单验收通知后三天内未对指定交割仓库签发的标准仓单进行验收确认的，视为已验收确认，标准仓单自动生效。</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 xml:space="preserve">第二十条 指定交割仓库签发标准仓单应当符合下列要求: </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 xml:space="preserve">（一）一张标准仓单的数量应当是一张合约最小交割单位的数量; </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 xml:space="preserve">（二）标准仓单所示商品的质量、包装等条件应当符合交易所有关规定; </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（三）同一标准仓单所示商品应当是同一品种、同一生产厂（同一产地）、同一商标、同一牌号或同一等级。</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第二十一条 标准仓单生成后即以电子形式存在。</w:t>
      </w: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第五章 交 割</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第二十二条 所有到期未平仓期货合约的持有者应当以实物交割方式履约。业务流程如下:</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（一）卖方客户授权。卖方客户应当通过标准仓单管理系统先将标准仓单授权给卖方期货公司会员以办理实物交割业务。</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（二）第一交割日，卖方会员通过标准仓单管理系统向交易所提交已付清仓储费用的标准仓单，买方会员向交易所申报交割意向。</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（三）第二交割日，交易所分配标准仓单。</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lastRenderedPageBreak/>
        <w:t>（四）第三交割日，买方会员完成付款后，交易所释放分配到该会员名下的标准仓单。交易所将货款付给卖方会员。</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（五）买方会员分配仓单。买方会员应当在最后交易日后第五个工作日之前（含当日）将分配到其名下的标准仓单再分配给买方客户。如买方会员不能按时分配标准仓单，应当向交易所报告原因。</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第二十三条 如果买方客户交割违约而买方会员替代履约的，交易所在审核买方会员的申请后可以将相应的标准仓单转入买方会员的标准仓单帐户。买方会员可以依法处置相应的标准仓单。</w:t>
      </w: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第六章 期货转现货</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第二十四条 办理期转现业务的买卖双方会员（客户）达成协议后，应当在规定的期限内，由其中任意一方会员提交期转现申请，另一方确认后，经交易所批准实施期转现。</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第二十五条 使用标准仓单并通过交易所结算的期转现业务流程如下:</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（一）卖方客户授权。卖方客户应当先将标准仓单授权给卖方期货公司会员以办理期转现业务。</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（二）卖方会员提交标准仓单。卖方会员在规定期限内将标准仓单提交给交易所。</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（三）交易所将标准仓单分配给买方会员。</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（四）买方会员交款后，交易所释放分配到该会员名下的标准仓单，并将货款付给卖方会员。</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lastRenderedPageBreak/>
        <w:t>（五）买方会员在取得标准仓单后3个工作日内向客户分配标准仓单。如买方会员不能按时分配标准仓单，应当向交易所报告原因。</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第二十六条 如果买方客户违约而买方会员替代履约的，交易所在审核买方会员的申请后可以将相应的标准仓单转入买方会员的标准仓单帐户。买方会员可以依法处置相应的标准仓单。</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第二十七条 使用标准仓单自行结算的期转现业务，货款由买卖双方自行交付，标准仓单由买卖双方按照本办法中的标准仓单所外转让流程办理，或者通过提货后自行交付。</w:t>
      </w: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第七章 标准仓单充抵保证金</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第二十八条 客户将标准仓单交存交易所充抵保证金（即作为保证金使用）的业务流程如下:</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（一）客户授权。客户应当先将指定的标准仓单授权给会员充抵该会员的保证金。</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（二）会员交存仓单。会员选择客户授权的标准仓单，提交给交易所。会员提交仓单时，应当注明标准仓单是充抵保证金，还是只充抵与其所示数量相同的交割月份期货合约持仓的交易保证金。</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（三）交易所审核。交易所审核通过后，标准仓单方可充抵保证金。</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 xml:space="preserve">第二十九条 客户提取充抵保证金的标准仓单的业务流程如下: </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（一）客户提出申请。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lastRenderedPageBreak/>
        <w:t>（二）会员提交申请。会员收到客户的申请后，及时向交易所提交标准仓单提取申请。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（三）交易所审核。交易所审核通过后，将对应标准仓单退还给会员。</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（四）会员释放仓单。会员应当及时将对应的标准仓单释放给客户。会员未及时释放标准仓单的，应当向交易所报告原因。</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第三十条 客户将标准仓单授权给会员充抵会员保证金的，会员在弥补应交保证金后可以向交易所申请办理提取标准仓单手续。如果会员与客户就提取的标准仓单产生纠纷的，交易所可以根据会员和客户之间达成的具有法律效力的协议将相应的标准仓单转入该协议中约定的标准仓单帐户，或依据生效的法律文书作相应的处理。</w:t>
      </w: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第八章 标准仓单在交易所外质押</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第三十一条 标准仓单质押是指出质人（即债务人或第三人）将其拥有的标准仓单移交给质权人（债权人）占有，将该标准仓单作为债权的担保。债务人不履行债务时，债权人有权依照法律以该标准仓单折价或者以拍卖、变卖该标准仓单的价款优先受偿。</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第三十二条 出质人应当在与质权人另行订立的质押合同中列明用于质押的标准仓单编号，并将质押合同副本提交指定交割仓库留存。</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 xml:space="preserve">第三十三条 标准仓单在交易所外进行质押的登记流程如下: </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（一）出质人质押登记申请。出质人应当通过标准仓单管理系统向指定交割仓库提交质押登记申请。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（二）指定交割仓库依据质押合同副本审核质押登记申请。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lastRenderedPageBreak/>
        <w:t>（三）质权人确认质押登记申请。质权人可以通过标准仓单管理系统确认提交质押登记的标准仓单。</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（四）仓单质押登记。指定交割仓库应当对已质押的标准仓单进行登记管理，相应标准仓单不得进行交割、转让、提货、挂失等任何操作。</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第三十四条 标准仓单质押期间，指定交割仓库应当在标准仓单对应商品上做好标记，妥善保管。</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第三十五条 解除标准仓单所外质押登记流程如下:</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（一）质权人申请解除质押登记。质权人应当通过标准仓单管理系统向指定交割仓库提交解除质押登记的申请。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（二）指定交割仓库审核解除质押登记申请。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（三）出质人确认解除质押登记申请。出质人可以通过标准仓单管理系统确认提交解除质押登记的标准仓单。</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第三十六条 指定交割仓库应当将其已签字盖章的标准仓单质押清单和标准仓单解除质押清单交付出质人和质权人。</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第三十七条 如果债务履行期届满标准仓单质权人（债权人）未受到清偿的，质权人可以依据标准仓单质押合同及相关法律规定和约定实现质权。</w:t>
      </w: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第九章 标准仓单的所外转让</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第三十八条 标准仓单可以在交易所外转让。</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第三十九条 标准仓单在交易所外转让的，买卖双方可以自行结算，也可以通过交易所结算。通过交易所结算的，按交割标准收取手续费。</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第四十条 买卖双方自行结算的标准仓单所外转让流程如下:</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lastRenderedPageBreak/>
        <w:t>（一）卖方转让申请。卖方输入品种、指定交割仓库、买方客户编码和名称、相应标准仓单等相关信息后提交转让申请。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（二）买方转让确认。买方通过标准仓单管理系统确认转让申请。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（三）指定交割仓库审核转让申请。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（四）买方按双方约定交付货款。</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（五）卖方释放标准仓单。卖方收款后释放标准仓单，对应标准仓单转到买方的标准仓单帐户。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第四十一条 通过交易所结算的标准仓单所外转让，应当通过会员进行。其转让流程如下:</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（一）卖方客户转让申请。卖方客户输入品种、指定交割仓库、买方客户的客户编码和名称、卖方会员、转让价、相应标准仓单等相关信息后，提交转让申请。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（二）买方客户转让确认。买方客户通过标准仓单管理系统确认转让申请，并将货款存入指定买方会员的专用资金帐户。</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（三）指定交割仓库审核转让申请，并通知买卖双方和交易所。</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（四）交易所打印标准仓单所外转让结算单并收付货款。</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（五）交易所释放标准仓单。</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会员在14：00之前提交的转让申请，交易所在当日完成转让程序，会员在14：00之后提交的转让申请，交易所在下一交易日完成转让程序。</w:t>
      </w: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第十章 标准仓单的变更</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lastRenderedPageBreak/>
        <w:t>第四十二条 仓单所有人如需修改标准仓单的重量、件数和块数等数据，应当通过标准仓单管理系统提交标准仓单的重量、件数或块数变更申请。指定交割仓库和交易所审核后，完成数据的变更。</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第四十三条 指定交割仓库如需移动标准仓单所属商品的货位，应当事先向交易所提出申请。交易所应当在10个工作日内批复。指定交割仓库移动货位后应当通知仓单所有人，并及时通过标准仓单管理系统修改对应仓单的货位数据。</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第四十四条 标准仓单对应的商品质检期届满后，仓单所有人应当重新质检。仓单所有人在商品重新质检后，向交易所提交质检日期变更申报，在交易所审核新的质检证书后，指定交割仓库应当通过标准仓单管理系统变更对应标准仓单的质检证书和质检日期。</w:t>
      </w: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第十一章 标准仓单的冻结和锁定</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第四十五条 标准仓单的冻结或解除冻结手续由指定交割仓库办理。标准仓单的冻结或解除冻结的申请人应当持有效法律文书和相关证明材料，经指定交割仓库审核无误后，通过标准仓单管理系统实施对相应标准仓单的冻结或解除冻结。</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标准仓单冻结期间，指定交割仓库应当封存相关商品。标准仓单解除冻结后，指定交割仓库应当根据有效法律文书处置相关商品。</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第四十六条 指定交割仓库冻结和解冻标准仓单应当报交易所备案。</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lastRenderedPageBreak/>
        <w:t>第四十七条 如果标准仓单业务参与者之间产生与标准仓单有关的其他纠纷，尤其是标准仓单的权属纠纷，交易所可以经当事人的申请或自行将相应的标准仓单锁定，直至纠纷解决。</w:t>
      </w: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第十二章 标准仓单的注销</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第四十八条 标准仓单注销是指标准仓单所有人提货或者申请将其标准仓单转为一般现货提单，由指定交割仓库办理标准仓单退出流通的过程。</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第四十九条 标准仓单作废是指标准仓单的所有人对指定交割仓库签发的已生效的标准仓单除重量、件数、块数、货位、质检日期以外的数据有异议，提交标准仓单作废申请，经指定交割仓库和交易所审核，注销对应标准仓单的过程。</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第五十条 作废的标准仓单如需生成相对应新的标准仓单，应当到交易所重新办理交割预报手续。</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第五十一条 标准仓单超过有效期不得用于期货交割，仓单所有人应当在标准仓单有效期满后一个月内到指定交割仓库办理提货或重新办理标准仓单签发手续。否则，逾期提货者应当与指定交割仓库另行签订现货委托保管协议。</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第五十二条 仓单所有人提货时，应当向指定交割仓库提交标准仓单出库申请。指定交割仓库在审核后予以发货。指定交割仓库的发货部门根据标准仓单出库清单和相关单证发货。</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第五十三条 仓单所有人在出库申请中应当注明提货方式:</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（一）自行到库提货的，指定交割仓库在对标准仓单审核无误后予以发货。货主应当到库监发，货主不到库监发的，视为认可指定交割仓库发货无误。</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lastRenderedPageBreak/>
        <w:t>（二）委托第三方提货的，货主应当提交授权委托书，并在出库申请上注明其委托的提货单位、提货密码、联系人和联系电话等信息。指定交割仓库在对标准仓单审核无误后予以发货。货主委托的提货单位应当到库监发，不到库监发的，视为货主认可指定交割仓库发货无误。</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三）委托指定交割仓库代为发运的，货主应当提交授权委托书，并在出库申请上注明发货地址、联系人和联系电话等信息。指定交割仓库在对标准仓单审核无误后予以发货。货主应当认可指定交割仓库发货无误。</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第五十四条 商品出库时，指定交割仓库应当制作标准仓单出库清单，交提货人签字确认。</w:t>
      </w:r>
    </w:p>
    <w:p w:rsidR="00A47E96" w:rsidRDefault="00A47E96" w:rsidP="00A47E96">
      <w:pPr>
        <w:spacing w:line="580" w:lineRule="exact"/>
        <w:jc w:val="center"/>
        <w:rPr>
          <w:rFonts w:ascii="方正黑体简体" w:eastAsia="方正黑体简体"/>
          <w:sz w:val="30"/>
          <w:szCs w:val="30"/>
        </w:rPr>
      </w:pPr>
      <w:r>
        <w:rPr>
          <w:rFonts w:ascii="方正黑体简体" w:eastAsia="方正黑体简体" w:hint="eastAsia"/>
          <w:sz w:val="30"/>
          <w:szCs w:val="30"/>
        </w:rPr>
        <w:t>第十三章 附 则</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第五十五条 本办法未尽事宜，参照上海期货交易所章程、交易规则及业务实施细则有关规定执行。</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第五十六条 标准仓单帐户的开户流程、标准仓单管理系统的使用和操作等具体规定参见交易所依据本办法另行制定的操作手册。</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第五十七条 有关标准仓单交易的组织和实施办法由交易所另行制定。</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第五十八条 螺纹钢、线材和热轧卷板期货厂库标准仓单的生成、流转、注销等参照《上海期货交易所指定钢材厂库交割办法（试行）》相关内容执行。</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cs="FZDaBiaoSong-B06S" w:hint="eastAsia"/>
          <w:kern w:val="0"/>
          <w:sz w:val="30"/>
          <w:szCs w:val="30"/>
        </w:rPr>
        <w:t>不锈钢期货厂库标准仓单的生成、流转、注销等参照《上海期货交易所指定不锈钢厂库交割办法（试行）》相关内容执行。</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lastRenderedPageBreak/>
        <w:t>石油沥青厂库标准仓单的生成、流转、注销等参照《上海期货交易所石油沥青期货交割实施细则（试行）》相关内容执行。</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sidRPr="000F5725">
        <w:rPr>
          <w:rFonts w:ascii="方正仿宋简体" w:eastAsia="方正仿宋简体" w:hint="eastAsia"/>
          <w:color w:val="000000"/>
          <w:kern w:val="0"/>
          <w:sz w:val="30"/>
          <w:szCs w:val="30"/>
        </w:rPr>
        <w:t>漂白硫酸盐针叶木浆厂库标准仓单的生成、流转、注销等参照《上海期货交易所漂白硫酸盐针叶木浆厂库交割办法（试行）》相关内容执行。</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《上海期货交易所指定钢材厂库交割办法（试行）》</w:t>
      </w:r>
      <w:r>
        <w:rPr>
          <w:rFonts w:ascii="方正仿宋简体" w:eastAsia="方正仿宋简体" w:cs="FZDaBiaoSong-B06S" w:hint="eastAsia"/>
          <w:kern w:val="0"/>
          <w:sz w:val="30"/>
          <w:szCs w:val="30"/>
        </w:rPr>
        <w:t>《上海期货交易所指定不锈钢厂库交割办法（试行）》</w:t>
      </w:r>
      <w:r>
        <w:rPr>
          <w:rFonts w:ascii="方正仿宋简体" w:eastAsia="方正仿宋简体" w:hint="eastAsia"/>
          <w:color w:val="000000"/>
          <w:kern w:val="0"/>
          <w:sz w:val="30"/>
          <w:szCs w:val="30"/>
        </w:rPr>
        <w:t xml:space="preserve">对厂库标准仓单未尽事宜，参照仓库标准仓单的有关规定执行。 </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 xml:space="preserve">《上海期货交易所石油沥青期货交割实施细则（试行）》对厂库标准仓单未尽事宜，参照仓库标准仓单的有关规定执行。 </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sidRPr="000F5725">
        <w:rPr>
          <w:rFonts w:ascii="方正仿宋简体" w:eastAsia="方正仿宋简体" w:hint="eastAsia"/>
          <w:color w:val="000000"/>
          <w:kern w:val="0"/>
          <w:sz w:val="30"/>
          <w:szCs w:val="30"/>
        </w:rPr>
        <w:t>《上海期货交易所漂白硫酸盐针叶木浆厂库交割办法（试行）》对厂库标准仓单未尽事宜，参照仓库标准仓单的有关规定执行。</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黄金期货实物交割业务流程按照《上海期货交易所黄金期货交割实施细则（试行）》有关规定执行。</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第五十九条 违反本办法规定的，交易所按《上海期货交易所违规处理办法》的有关规定处理。</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第六十条 本办法解释权属于上海期货交易所。</w:t>
      </w:r>
    </w:p>
    <w:p w:rsidR="00A47E96" w:rsidRDefault="00A47E96" w:rsidP="00A47E96">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第六十一条 本办法自2020年9月1日起实施。</w:t>
      </w:r>
    </w:p>
    <w:p w:rsidR="00A47E96" w:rsidRPr="0068365B" w:rsidRDefault="00A47E96" w:rsidP="00A47E96">
      <w:pPr>
        <w:pStyle w:val="2"/>
        <w:spacing w:after="0" w:line="560" w:lineRule="exact"/>
        <w:ind w:leftChars="0" w:left="0"/>
        <w:rPr>
          <w:rFonts w:ascii="方正仿宋简体" w:eastAsia="方正仿宋简体" w:hAnsi="仿宋" w:hint="eastAsia"/>
          <w:sz w:val="30"/>
          <w:szCs w:val="30"/>
        </w:rPr>
      </w:pPr>
    </w:p>
    <w:p w:rsidR="00825201" w:rsidRPr="00A47E96" w:rsidRDefault="00A47E96">
      <w:bookmarkStart w:id="0" w:name="_GoBack"/>
      <w:bookmarkEnd w:id="0"/>
    </w:p>
    <w:sectPr w:rsidR="00825201" w:rsidRPr="00A47E96" w:rsidSect="0068365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FZDaBiaoSong-B06S">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96"/>
    <w:rsid w:val="00282A2D"/>
    <w:rsid w:val="00653D82"/>
    <w:rsid w:val="00A47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58C15-E832-46CD-B61F-7F763808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E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nhideWhenUsed/>
    <w:rsid w:val="00A47E96"/>
    <w:pPr>
      <w:spacing w:after="120" w:line="480" w:lineRule="auto"/>
      <w:ind w:leftChars="200" w:left="420"/>
    </w:pPr>
    <w:rPr>
      <w:rFonts w:ascii="Times New Roman" w:hAnsi="Times New Roman"/>
      <w:szCs w:val="24"/>
    </w:rPr>
  </w:style>
  <w:style w:type="character" w:customStyle="1" w:styleId="2Char">
    <w:name w:val="正文文本缩进 2 Char"/>
    <w:basedOn w:val="a0"/>
    <w:link w:val="2"/>
    <w:rsid w:val="00A47E9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974</Words>
  <Characters>5554</Characters>
  <Application>Microsoft Office Word</Application>
  <DocSecurity>0</DocSecurity>
  <Lines>46</Lines>
  <Paragraphs>13</Paragraphs>
  <ScaleCrop>false</ScaleCrop>
  <Company>Organization Name</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郑子函</dc:creator>
  <cp:keywords/>
  <dc:description/>
  <cp:lastModifiedBy>郑子函</cp:lastModifiedBy>
  <cp:revision>1</cp:revision>
  <dcterms:created xsi:type="dcterms:W3CDTF">2020-08-28T08:27:00Z</dcterms:created>
  <dcterms:modified xsi:type="dcterms:W3CDTF">2020-08-28T08:28:00Z</dcterms:modified>
</cp:coreProperties>
</file>